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- своевременное выявление в нормативных правовых актах коррупциогенных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- устранение выявленных коррупциогенных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>9. В случае если, по мнению управления Росстата, в нормативных правовых актах содержатся коррупциогенные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коррупциогенных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>В случае если, по мнению юридической службы Росстата, в нормативных правовых актах отсутствуют коррупциогенные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11. При выявлении коррупциогенных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16. 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 заключении отражаются коррупциогенные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20. В случае если, по мнению юридической службы Росстата, в проектах нормативных правовых актов отсутствуют коррупциогенные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431701"/>
    <w:rsid w:val="005E7CB6"/>
    <w:rsid w:val="00834F9D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P25_PokozijEV</cp:lastModifiedBy>
  <cp:revision>2</cp:revision>
  <dcterms:created xsi:type="dcterms:W3CDTF">2020-06-04T23:10:00Z</dcterms:created>
  <dcterms:modified xsi:type="dcterms:W3CDTF">2020-06-04T23:10:00Z</dcterms:modified>
</cp:coreProperties>
</file>