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479F6">
      <w:pPr>
        <w:divId w:val="89242685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" name="Рисунок 1" descr="https://mc.yandex.ru/watch/66236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c.yandex.ru/watch/66236914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1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0"/>
      </w:tblGrid>
      <w:tr w:rsidR="00000000">
        <w:trPr>
          <w:divId w:val="1546864685"/>
          <w:jc w:val="center"/>
        </w:trPr>
        <w:tc>
          <w:tcPr>
            <w:tcW w:w="10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479F6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Рассмотрение индивидуальных и служебных споров</w:t>
            </w:r>
          </w:p>
        </w:tc>
      </w:tr>
      <w:tr w:rsidR="00000000">
        <w:trPr>
          <w:divId w:val="1546864685"/>
          <w:jc w:val="center"/>
        </w:trPr>
        <w:tc>
          <w:tcPr>
            <w:tcW w:w="10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479F6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000000">
        <w:trPr>
          <w:divId w:val="1546864685"/>
          <w:jc w:val="center"/>
        </w:trPr>
        <w:tc>
          <w:tcPr>
            <w:tcW w:w="10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479F6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Выдержка из Федерального закона Российской Федерации от 27.07.2004 г. № 79-ФЗ «О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государственной гражданской службе российской Федерации»:</w:t>
            </w:r>
          </w:p>
        </w:tc>
      </w:tr>
      <w:tr w:rsidR="00000000">
        <w:trPr>
          <w:divId w:val="1546864685"/>
          <w:jc w:val="center"/>
        </w:trPr>
        <w:tc>
          <w:tcPr>
            <w:tcW w:w="10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479F6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 </w:t>
            </w:r>
          </w:p>
        </w:tc>
      </w:tr>
      <w:tr w:rsidR="00000000">
        <w:trPr>
          <w:divId w:val="1546864685"/>
          <w:jc w:val="center"/>
        </w:trPr>
        <w:tc>
          <w:tcPr>
            <w:tcW w:w="10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479F6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Глава 16. РАССМОТРЕНИЕ ИНДИВИДУАЛЬНЫХ СЛУЖЕБНЫХ СПОРОВ</w:t>
            </w:r>
          </w:p>
        </w:tc>
      </w:tr>
      <w:tr w:rsidR="00000000">
        <w:trPr>
          <w:divId w:val="1546864685"/>
          <w:jc w:val="center"/>
        </w:trPr>
        <w:tc>
          <w:tcPr>
            <w:tcW w:w="10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479F6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 </w:t>
            </w:r>
          </w:p>
        </w:tc>
      </w:tr>
      <w:tr w:rsidR="00000000">
        <w:trPr>
          <w:divId w:val="1546864685"/>
          <w:jc w:val="center"/>
        </w:trPr>
        <w:tc>
          <w:tcPr>
            <w:tcW w:w="10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479F6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Статья 69. Индивидуальный служебный спор</w:t>
            </w:r>
          </w:p>
        </w:tc>
      </w:tr>
      <w:tr w:rsidR="00000000">
        <w:trPr>
          <w:divId w:val="1546864685"/>
          <w:jc w:val="center"/>
        </w:trPr>
        <w:tc>
          <w:tcPr>
            <w:tcW w:w="10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479F6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 </w:t>
            </w:r>
          </w:p>
        </w:tc>
      </w:tr>
      <w:tr w:rsidR="00000000">
        <w:trPr>
          <w:divId w:val="1546864685"/>
          <w:jc w:val="center"/>
        </w:trPr>
        <w:tc>
          <w:tcPr>
            <w:tcW w:w="10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479F6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Индивидуальный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служебный спор - неурегулированные между представителем нанимателя и гражданским служащим либо гражданином, поступающим на гражданскую службу или ранее состоявшим на гражданской службе, разногласия по вопросам применения законов, иных нормативных правовых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актов о гражданской службе и служебного контракта, о которых заявлено в орган по рассмотрению индивидуальных служебных споров.</w:t>
            </w:r>
          </w:p>
        </w:tc>
      </w:tr>
      <w:tr w:rsidR="00000000">
        <w:trPr>
          <w:divId w:val="1546864685"/>
          <w:jc w:val="center"/>
        </w:trPr>
        <w:tc>
          <w:tcPr>
            <w:tcW w:w="10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479F6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 </w:t>
            </w:r>
          </w:p>
        </w:tc>
      </w:tr>
      <w:tr w:rsidR="00000000">
        <w:trPr>
          <w:divId w:val="1546864685"/>
          <w:jc w:val="center"/>
        </w:trPr>
        <w:tc>
          <w:tcPr>
            <w:tcW w:w="10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479F6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Статья 70. Органы по рассмотрению индивидуальных служебных споров</w:t>
            </w:r>
          </w:p>
        </w:tc>
      </w:tr>
      <w:tr w:rsidR="00000000">
        <w:trPr>
          <w:divId w:val="1546864685"/>
          <w:jc w:val="center"/>
        </w:trPr>
        <w:tc>
          <w:tcPr>
            <w:tcW w:w="10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479F6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 </w:t>
            </w:r>
          </w:p>
        </w:tc>
      </w:tr>
      <w:tr w:rsidR="00000000">
        <w:trPr>
          <w:divId w:val="1546864685"/>
          <w:jc w:val="center"/>
        </w:trPr>
        <w:tc>
          <w:tcPr>
            <w:tcW w:w="10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479F6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Индивидуальные служебные споры (далее - служебные споры) рассматриваются следующими органами по рассмотрению индивидуальных служебных споров (далее - органы по рассмотрению служебных споров):</w:t>
            </w:r>
          </w:p>
        </w:tc>
      </w:tr>
      <w:tr w:rsidR="00000000">
        <w:trPr>
          <w:divId w:val="1546864685"/>
          <w:jc w:val="center"/>
        </w:trPr>
        <w:tc>
          <w:tcPr>
            <w:tcW w:w="10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479F6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   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1) комиссией государственного органа по служебным спорам;</w:t>
            </w:r>
          </w:p>
        </w:tc>
      </w:tr>
      <w:tr w:rsidR="00000000">
        <w:trPr>
          <w:divId w:val="1546864685"/>
          <w:jc w:val="center"/>
        </w:trPr>
        <w:tc>
          <w:tcPr>
            <w:tcW w:w="10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479F6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   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2) судом.</w:t>
            </w:r>
          </w:p>
        </w:tc>
      </w:tr>
      <w:tr w:rsidR="00000000">
        <w:trPr>
          <w:divId w:val="1546864685"/>
          <w:jc w:val="center"/>
        </w:trPr>
        <w:tc>
          <w:tcPr>
            <w:tcW w:w="10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479F6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br/>
              <w:t>2.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законами, а порядок рассмотрения дел по служебным спорам в судах определяется также гр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ажданским процессуальным законодательством Российской Федерации.</w:t>
            </w:r>
          </w:p>
        </w:tc>
      </w:tr>
      <w:tr w:rsidR="00000000">
        <w:trPr>
          <w:divId w:val="1546864685"/>
          <w:jc w:val="center"/>
        </w:trPr>
        <w:tc>
          <w:tcPr>
            <w:tcW w:w="10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479F6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br/>
              <w:t xml:space="preserve">3. Комиссия государственного органа по служебным спорам (далее - комиссия по служебным спорам) образуется решением представителя нанимателя из равного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числа представителей выборного профсоюзного органа данного государственного органа и представителя нанимателя.</w:t>
            </w:r>
          </w:p>
        </w:tc>
      </w:tr>
      <w:tr w:rsidR="00000000">
        <w:trPr>
          <w:divId w:val="1546864685"/>
          <w:jc w:val="center"/>
        </w:trPr>
        <w:tc>
          <w:tcPr>
            <w:tcW w:w="10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479F6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br/>
              <w:t>4. Представители выборного профсоюзного органа данного государственного органа избираются в комиссию по служебным спорам на конференции гражд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анских служащих государственного органа. Представители представителя нанимателя назначаются в комиссию по служебным спорам представителем нанимателя.</w:t>
            </w:r>
          </w:p>
        </w:tc>
      </w:tr>
      <w:tr w:rsidR="00000000">
        <w:trPr>
          <w:divId w:val="1546864685"/>
          <w:jc w:val="center"/>
        </w:trPr>
        <w:tc>
          <w:tcPr>
            <w:tcW w:w="10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479F6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br/>
              <w:t>5. Комиссия по служебным спорам имеет свою печать. Организационное и техническое обеспечение деятельно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сти комиссии по служебным спорам осуществляется государственным органом.</w:t>
            </w:r>
          </w:p>
        </w:tc>
      </w:tr>
      <w:tr w:rsidR="00000000">
        <w:trPr>
          <w:divId w:val="1546864685"/>
          <w:jc w:val="center"/>
        </w:trPr>
        <w:tc>
          <w:tcPr>
            <w:tcW w:w="10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479F6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br/>
              <w:t>6. Комиссия по служебным спорам избирает из своего состава председателя и секретаря комиссии.</w:t>
            </w:r>
          </w:p>
        </w:tc>
      </w:tr>
      <w:tr w:rsidR="00000000">
        <w:trPr>
          <w:divId w:val="1546864685"/>
          <w:jc w:val="center"/>
        </w:trPr>
        <w:tc>
          <w:tcPr>
            <w:tcW w:w="10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479F6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br/>
              <w:t>7. Служебный спор рассматривается комиссией по служебным спорам в случае, если гр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нанимателя.</w:t>
            </w:r>
          </w:p>
        </w:tc>
      </w:tr>
      <w:tr w:rsidR="00000000">
        <w:trPr>
          <w:divId w:val="1546864685"/>
          <w:jc w:val="center"/>
        </w:trPr>
        <w:tc>
          <w:tcPr>
            <w:tcW w:w="10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479F6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br/>
              <w:t>8. Гражданский служащий либо гражданин, поступающий на гражданскую службу или ранее состоявш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ий на гражданской службе, может обратиться в комиссию по служебным спорам в трехмесячный срок со дня, когда он узнал или должен был узнать о нарушении своего права.</w:t>
            </w:r>
          </w:p>
        </w:tc>
      </w:tr>
      <w:tr w:rsidR="00000000">
        <w:trPr>
          <w:divId w:val="1546864685"/>
          <w:jc w:val="center"/>
        </w:trPr>
        <w:tc>
          <w:tcPr>
            <w:tcW w:w="10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479F6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br/>
              <w:t xml:space="preserve">9. В случае пропуска по уважительным причинам срока, установленного частью 8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настоящей статьи, комиссия по служебным спорам может восстановить этот срок и рассмотреть служебный спор по существу. Поступившее в комиссию по служебным спорам письменное заявление гражданского служащего либо гражданина, поступающего на гражданскую службу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или ранее состоявшего на гражданской службе, подлежит обязательной регистрации указанной комиссией в день его подачи.</w:t>
            </w:r>
          </w:p>
        </w:tc>
      </w:tr>
      <w:tr w:rsidR="00000000">
        <w:trPr>
          <w:divId w:val="1546864685"/>
          <w:jc w:val="center"/>
        </w:trPr>
        <w:tc>
          <w:tcPr>
            <w:tcW w:w="10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479F6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br/>
              <w:t>10. Комиссия по служебным спорам обязана рассмотреть служебный спор в течение десяти календарных дней со дня подачи письменного заявл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ения.</w:t>
            </w:r>
          </w:p>
        </w:tc>
      </w:tr>
      <w:tr w:rsidR="00000000">
        <w:trPr>
          <w:divId w:val="1546864685"/>
          <w:jc w:val="center"/>
        </w:trPr>
        <w:tc>
          <w:tcPr>
            <w:tcW w:w="10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479F6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br/>
              <w:t>11. Порядок рассмотрения служебного спора комиссией по служебным спорам, а также порядок принятия решения комиссией по служебным спорам и его исполнения регулируется федеральным законом.</w:t>
            </w:r>
          </w:p>
        </w:tc>
      </w:tr>
      <w:tr w:rsidR="00000000">
        <w:trPr>
          <w:divId w:val="1546864685"/>
          <w:jc w:val="center"/>
        </w:trPr>
        <w:tc>
          <w:tcPr>
            <w:tcW w:w="10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479F6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br/>
              <w:t>12. Решение комиссии по служебным спорам может быть обж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аловано любой из сторон в суд в десятидневный срок со дня вручения ей копии решения комиссии. В случае пропуска по уважительным причинам установленного срока суд может восстановить этот срок и рассмотреть служебный спор по существу.</w:t>
            </w:r>
          </w:p>
        </w:tc>
      </w:tr>
      <w:tr w:rsidR="00000000">
        <w:trPr>
          <w:divId w:val="1546864685"/>
          <w:jc w:val="center"/>
        </w:trPr>
        <w:tc>
          <w:tcPr>
            <w:tcW w:w="10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479F6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br/>
              <w:t>13. В судах рассмат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риваются служебные споры по письменным заявлениям гражданского служащего либо гражданина, поступающего на гражданскую службу или ранее состоявшего на гражданской службе, представителя нанимателя или представителя выборного профсоюзного органа данного госуд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арственного органа,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спорам, а также по заявлению прокурора, если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решение комиссии по служебным спорам не соответствует федеральным законам или иным нормативным правовым актам Российской Федерации.</w:t>
            </w:r>
          </w:p>
        </w:tc>
      </w:tr>
      <w:tr w:rsidR="00000000">
        <w:trPr>
          <w:divId w:val="1546864685"/>
          <w:jc w:val="center"/>
        </w:trPr>
        <w:tc>
          <w:tcPr>
            <w:tcW w:w="10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479F6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br/>
              <w:t>14. Непосредственно в судах рассматриваются служебные споры по письменным заявлениям:</w:t>
            </w:r>
          </w:p>
        </w:tc>
      </w:tr>
      <w:tr w:rsidR="00000000">
        <w:trPr>
          <w:divId w:val="1546864685"/>
          <w:jc w:val="center"/>
        </w:trPr>
        <w:tc>
          <w:tcPr>
            <w:tcW w:w="10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479F6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    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гражданского служащего или гражданина, ранее состоявшего на гражданской службе, - о восстановлении в ранее замещаемой должности гражданской службы независимо от оснований прекращения или расторжения служебного контракта, освобождения от замещаемой должност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и гражданской службы, увольнения с гражданской службы, об изменении даты освобождения от замещаемой должности гражданской службы и формулировки причины указанного освобождения, о переводе на иную должность гражданской службы без согласия гражданского служа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щего,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службы;</w:t>
            </w:r>
          </w:p>
        </w:tc>
      </w:tr>
      <w:tr w:rsidR="00000000">
        <w:trPr>
          <w:divId w:val="1546864685"/>
          <w:jc w:val="center"/>
        </w:trPr>
        <w:tc>
          <w:tcPr>
            <w:tcW w:w="10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479F6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    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представителя нанимателя - о возмещении гражданским служащим вреда, причиненного государственному органу, если иное не предусмотрено федеральными законами.</w:t>
            </w:r>
          </w:p>
        </w:tc>
      </w:tr>
      <w:tr w:rsidR="00000000">
        <w:trPr>
          <w:divId w:val="1546864685"/>
          <w:jc w:val="center"/>
        </w:trPr>
        <w:tc>
          <w:tcPr>
            <w:tcW w:w="10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479F6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br/>
              <w:t>15. Непосредственно в судах рассматриваются также служебные споры:</w:t>
            </w:r>
          </w:p>
        </w:tc>
      </w:tr>
      <w:tr w:rsidR="00000000">
        <w:trPr>
          <w:divId w:val="1546864685"/>
          <w:jc w:val="center"/>
        </w:trPr>
        <w:tc>
          <w:tcPr>
            <w:tcW w:w="10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479F6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    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1) о неправомерном отк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азе в поступлении на гражданскую службу;</w:t>
            </w:r>
          </w:p>
        </w:tc>
      </w:tr>
      <w:tr w:rsidR="00000000">
        <w:trPr>
          <w:divId w:val="1546864685"/>
          <w:jc w:val="center"/>
        </w:trPr>
        <w:tc>
          <w:tcPr>
            <w:tcW w:w="10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479F6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    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2) по письменным заявлениям гражданских служащих, считающих, что они подверглись дискриминации.</w:t>
            </w:r>
          </w:p>
        </w:tc>
      </w:tr>
      <w:tr w:rsidR="00000000">
        <w:trPr>
          <w:divId w:val="1546864685"/>
          <w:jc w:val="center"/>
        </w:trPr>
        <w:tc>
          <w:tcPr>
            <w:tcW w:w="10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479F6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br/>
              <w:t>16. В случаях освобождения от замещаемой должности гражданской службы и увольнения с гражданской службы по о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снованиям, не предусмотренным настоящим Федеральным законом,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вреда. Размер возмещения определяется судом.</w:t>
            </w:r>
          </w:p>
        </w:tc>
      </w:tr>
      <w:tr w:rsidR="00000000">
        <w:trPr>
          <w:divId w:val="1546864685"/>
          <w:jc w:val="center"/>
        </w:trPr>
        <w:tc>
          <w:tcPr>
            <w:tcW w:w="10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479F6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br/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17. Сроки обращения в суд за рассмотрением служебного спора и порядок освобождения гражданских служащих от судебных расходов, порядок вынесения решений по служебным спорам, связанным с освобождением от замещаемой должности гражданской службы и увольнением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с гражданской службы, переводом на иную должность гражданской службы без согласия гражданского служащего, порядок удовлетворения денежных требований гражданских служащих, исполнения решений о восстановлении в ранее замещаемой должности гражданской службы и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ограничения обратного взыскания сумм, выплаченных по решению органов по рассмотрению служебных споров, устанавливаются федеральным законом.</w:t>
            </w:r>
          </w:p>
        </w:tc>
      </w:tr>
    </w:tbl>
    <w:p w:rsidR="00000000" w:rsidRDefault="005479F6">
      <w:pPr>
        <w:spacing w:line="276" w:lineRule="auto"/>
        <w:jc w:val="both"/>
        <w:divId w:val="1546864685"/>
        <w:rPr>
          <w:rFonts w:eastAsiaTheme="minorEastAsia"/>
          <w:sz w:val="22"/>
          <w:szCs w:val="22"/>
        </w:rPr>
      </w:pPr>
      <w:r>
        <w:rPr>
          <w:rFonts w:ascii="Times New Roman" w:eastAsiaTheme="minorEastAsia" w:hAnsi="Times New Roman"/>
          <w:sz w:val="28"/>
          <w:szCs w:val="28"/>
        </w:rPr>
        <w:t> </w:t>
      </w:r>
    </w:p>
    <w:p w:rsidR="00000000" w:rsidRDefault="005479F6">
      <w:pPr>
        <w:spacing w:line="276" w:lineRule="auto"/>
        <w:jc w:val="both"/>
        <w:divId w:val="1546864685"/>
        <w:rPr>
          <w:rFonts w:eastAsiaTheme="minorEastAsia"/>
          <w:sz w:val="22"/>
          <w:szCs w:val="22"/>
        </w:rPr>
      </w:pPr>
      <w:r>
        <w:rPr>
          <w:rFonts w:ascii="Times New Roman" w:eastAsiaTheme="minorEastAsia" w:hAnsi="Times New Roman"/>
          <w:sz w:val="28"/>
          <w:szCs w:val="28"/>
        </w:rPr>
        <w:t> </w:t>
      </w:r>
    </w:p>
    <w:tbl>
      <w:tblPr>
        <w:tblW w:w="0" w:type="auto"/>
        <w:jc w:val="center"/>
        <w:tblInd w:w="13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</w:tblGrid>
      <w:tr w:rsidR="00000000">
        <w:trPr>
          <w:divId w:val="1546864685"/>
          <w:jc w:val="center"/>
        </w:trPr>
        <w:tc>
          <w:tcPr>
            <w:tcW w:w="694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479F6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Документы для скачивания и просмотра:</w:t>
            </w:r>
          </w:p>
          <w:p w:rsidR="00000000" w:rsidRDefault="005479F6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 </w:t>
            </w:r>
          </w:p>
          <w:p w:rsidR="00000000" w:rsidRDefault="005479F6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     .</w:t>
            </w:r>
            <w:hyperlink r:id="rId6" w:history="1">
              <w:r>
                <w:rPr>
                  <w:rStyle w:val="a3"/>
                  <w:rFonts w:eastAsiaTheme="minorEastAsia"/>
                  <w:sz w:val="28"/>
                  <w:szCs w:val="28"/>
                  <w:lang w:val="en-US"/>
                </w:rPr>
                <w:t>DOCX</w:t>
              </w:r>
            </w:hyperlink>
            <w:r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 xml:space="preserve">   (20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Кб)             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.</w:t>
            </w:r>
            <w:hyperlink r:id="rId7" w:history="1">
              <w:r>
                <w:rPr>
                  <w:rStyle w:val="a3"/>
                  <w:rFonts w:eastAsiaTheme="minorEastAsia"/>
                  <w:sz w:val="28"/>
                  <w:szCs w:val="28"/>
                  <w:lang w:val="en-US"/>
                </w:rPr>
                <w:t>PDF</w:t>
              </w:r>
            </w:hyperlink>
            <w:r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 xml:space="preserve">   (150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Кб)</w:t>
            </w:r>
          </w:p>
        </w:tc>
      </w:tr>
    </w:tbl>
    <w:p w:rsidR="005479F6" w:rsidRDefault="005479F6">
      <w:pPr>
        <w:spacing w:line="276" w:lineRule="auto"/>
        <w:jc w:val="both"/>
        <w:divId w:val="1546864685"/>
        <w:rPr>
          <w:rFonts w:eastAsiaTheme="minorEastAsia"/>
          <w:sz w:val="22"/>
          <w:szCs w:val="22"/>
        </w:rPr>
      </w:pPr>
      <w:r>
        <w:rPr>
          <w:rFonts w:ascii="Times New Roman" w:eastAsiaTheme="minorEastAsia" w:hAnsi="Times New Roman"/>
          <w:sz w:val="24"/>
          <w:szCs w:val="24"/>
        </w:rPr>
        <w:t> </w:t>
      </w:r>
    </w:p>
    <w:sectPr w:rsidR="00547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C2984"/>
    <w:rsid w:val="000C2984"/>
    <w:rsid w:val="0054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 w:hint="default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 w:hint="default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2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ks.ru/free_doc/new_site/rosstat/gos_sl/por_obj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ks.ru/free_doc/new_site/rosstat/gos_sl/por_obj.docx" TargetMode="External"/><Relationship Id="rId5" Type="http://schemas.openxmlformats.org/officeDocument/2006/relationships/image" Target="https://mc.yandex.ru/watch/6623691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P25_PokozijEV</dc:creator>
  <cp:lastModifiedBy>P25_PokozijEV</cp:lastModifiedBy>
  <cp:revision>2</cp:revision>
  <dcterms:created xsi:type="dcterms:W3CDTF">2020-10-29T02:31:00Z</dcterms:created>
  <dcterms:modified xsi:type="dcterms:W3CDTF">2020-10-29T02:31:00Z</dcterms:modified>
</cp:coreProperties>
</file>